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85AC">
      <w:pPr>
        <w:pStyle w:val="2"/>
        <w:spacing w:beforeAutospacing="0" w:afterAutospacing="0"/>
        <w:rPr>
          <w:rFonts w:hint="eastAsia" w:ascii="Times New Roman" w:hAnsi="Times New Roman" w:eastAsia="黑体"/>
          <w:b w:val="0"/>
          <w:sz w:val="32"/>
          <w:lang w:val="en-US" w:eastAsia="zh-CN"/>
        </w:rPr>
      </w:pPr>
      <w:r>
        <w:rPr>
          <w:rFonts w:hint="default" w:ascii="Times New Roman" w:hAnsi="Times New Roman" w:eastAsia="黑体"/>
          <w:b w:val="0"/>
          <w:sz w:val="32"/>
        </w:rPr>
        <w:t>附件</w:t>
      </w:r>
      <w:r>
        <w:rPr>
          <w:rFonts w:hint="eastAsia" w:ascii="Times New Roman" w:hAnsi="Times New Roman" w:eastAsia="黑体"/>
          <w:b w:val="0"/>
          <w:sz w:val="32"/>
          <w:lang w:val="en-US" w:eastAsia="zh-CN"/>
        </w:rPr>
        <w:t>1</w:t>
      </w:r>
    </w:p>
    <w:p w14:paraId="2B179258">
      <w:pPr>
        <w:rPr>
          <w:rFonts w:asciiTheme="minorHAnsi" w:hAnsiTheme="minorHAnsi" w:eastAsiaTheme="minorEastAsia"/>
        </w:rPr>
      </w:pPr>
    </w:p>
    <w:p w14:paraId="4821ED91">
      <w:pPr>
        <w:spacing w:line="480" w:lineRule="auto"/>
        <w:ind w:right="28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职业教育在线精品课程观测指标</w:t>
      </w:r>
    </w:p>
    <w:bookmarkEnd w:id="0"/>
    <w:p w14:paraId="6D7FB775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黑体"/>
          <w:kern w:val="0"/>
          <w:sz w:val="28"/>
          <w:szCs w:val="28"/>
        </w:rPr>
        <w:t>）评议性指标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29"/>
        <w:gridCol w:w="5911"/>
      </w:tblGrid>
      <w:tr w14:paraId="3FEB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4DA8866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3C5B0A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7893614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观测点及要求</w:t>
            </w:r>
          </w:p>
        </w:tc>
      </w:tr>
      <w:tr w14:paraId="5D5D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5911C1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授课教师团队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F1C42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构成与要求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48AEE7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1.团队结构合理，师德师风优良，教学表现力和亲和力强，教学成果积累丰富，教学改革意识强，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数字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素养高。</w:t>
            </w:r>
          </w:p>
          <w:p w14:paraId="52F8A0E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2.课程负责人应具有副高级及以上职称，具有丰富的教学经验和扎实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专业功底，在本专业领域具有一定影响力，同一课程负责人限牵头申报一门课程。专业课团队主要成员中应有“双师型”教师。</w:t>
            </w:r>
          </w:p>
          <w:p w14:paraId="71989B5E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3.专业课“双师型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教师及行业企业兼职教师各具特色，团队主要成员须与课程平台显示人员基本一致，配备必要的助理教师</w:t>
            </w:r>
          </w:p>
        </w:tc>
      </w:tr>
      <w:tr w14:paraId="12E3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40A0A5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045D3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团队教学与建设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1AA6188A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1.团队拥有丰富教学经验，开展有关教学研究。</w:t>
            </w:r>
          </w:p>
          <w:p w14:paraId="223F3E90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2.团队教学能力突出、教学成果显著，获得有关教学奖励</w:t>
            </w:r>
          </w:p>
        </w:tc>
      </w:tr>
      <w:tr w14:paraId="63BF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760EFE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课程设计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452A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课程定位与目标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E90C504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1.落实立德树人根本任务，符合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highlight w:val="none"/>
                <w:lang w:val="en-US" w:eastAsia="zh-CN"/>
              </w:rPr>
              <w:t>职业教育国家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教学标准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人才培养方案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课程标准要求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，课程性质明确，与前、后接续课程衔接得当。</w:t>
            </w:r>
          </w:p>
          <w:p w14:paraId="1C9626C0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2.课程目标定位准确、条目清晰、内容具体、可评可测。</w:t>
            </w:r>
          </w:p>
          <w:p w14:paraId="713E5F3B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3.公共基础课程注重打好科学文化基础、培养学生思想政治素质、学科核心素养；专业（技能）课程注重提升专业能力、掌握专业技能，培养学生职业道德、综合素养</w:t>
            </w:r>
          </w:p>
        </w:tc>
      </w:tr>
      <w:tr w14:paraId="428C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4902ED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32DA1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课程结构与内容</w:t>
            </w:r>
          </w:p>
        </w:tc>
        <w:tc>
          <w:tcPr>
            <w:tcW w:w="5911" w:type="dxa"/>
            <w:vAlign w:val="center"/>
          </w:tcPr>
          <w:p w14:paraId="30D76960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1.课程内容组织与安排凸显职业教育类型特征，公共基础课程内容及时反映新知识，体现学科知识与行业（或职业）应用场景的融合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专业（技能）课程对接新产业、新业态、新模式、新职业，反映相关领域新方法、新技术、新工艺、新标准，体现行业企业参与特征，紧贴本专业相关技术领域职业岗位（群）的能力要求。</w:t>
            </w:r>
          </w:p>
          <w:p w14:paraId="7B05F30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2.落实课程思政要求，结合不同课程特点、思维方法和价值理念，挖掘课程思政元素，有机融入课程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。</w:t>
            </w:r>
          </w:p>
          <w:p w14:paraId="3E926A39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3.课程内容完整、结构合理、逻辑清晰，学习单元划分合理、衔接有序、教学学时分配合理</w:t>
            </w:r>
          </w:p>
        </w:tc>
      </w:tr>
      <w:tr w14:paraId="37E0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67277C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课程建设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FFB42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基本信息与规范</w:t>
            </w:r>
          </w:p>
        </w:tc>
        <w:tc>
          <w:tcPr>
            <w:tcW w:w="5911" w:type="dxa"/>
            <w:vAlign w:val="center"/>
          </w:tcPr>
          <w:p w14:paraId="2CF855C5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1.课程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基本信息完整，课程页面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应包括课程介绍、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教学团队、教材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选用情况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相关辅助学习材料、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相关职业类证书等信息。</w:t>
            </w:r>
          </w:p>
          <w:p w14:paraId="0A2792A8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2.课程页面布局合理、信息量适度、色彩搭配协调。</w:t>
            </w:r>
          </w:p>
          <w:p w14:paraId="7B017ECD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3.导航清晰明确，符号规范。</w:t>
            </w:r>
          </w:p>
          <w:p w14:paraId="211601F9">
            <w:pPr>
              <w:pStyle w:val="15"/>
              <w:widowControl/>
              <w:numPr>
                <w:ilvl w:val="255"/>
                <w:numId w:val="0"/>
              </w:numP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语言文字、图片、地图等使用符合相关规定</w:t>
            </w:r>
          </w:p>
        </w:tc>
      </w:tr>
      <w:tr w14:paraId="5C2F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2C16A6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174B6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资源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建设与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应用</w:t>
            </w:r>
          </w:p>
        </w:tc>
        <w:tc>
          <w:tcPr>
            <w:tcW w:w="5911" w:type="dxa"/>
            <w:vAlign w:val="center"/>
          </w:tcPr>
          <w:p w14:paraId="0B08C84E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1.课程资源以自主设计与开发为主，与课程内容相匹配、全覆盖，内在逻辑合理、内容完整精炼，能够满足学校教学和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学习需求，做到能学辅教；体现课程思政建设要求，体现行业发展的前沿技术和最新成果。</w:t>
            </w:r>
          </w:p>
          <w:p w14:paraId="5BDE6C2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2.课程内容丰富、形式多样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原创度高、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质量精良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符合大众审美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，针对各模块知识点或技能点设置对应的授课视频、动画、虚拟仿真、演示文稿等教学资源和测验、作业、考试等教学活动。</w:t>
            </w:r>
          </w:p>
          <w:p w14:paraId="3549B32C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3.科学规划在线学习资源，动画、视频、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音频、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虚拟仿真等类型资源一般不少于30%</w:t>
            </w:r>
          </w:p>
        </w:tc>
      </w:tr>
      <w:tr w14:paraId="038E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0D7C8C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342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课程管理与保障</w:t>
            </w:r>
          </w:p>
        </w:tc>
        <w:tc>
          <w:tcPr>
            <w:tcW w:w="5911" w:type="dxa"/>
            <w:vAlign w:val="center"/>
          </w:tcPr>
          <w:p w14:paraId="58EADA9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学校在线课程管理制度和机构健全，已出台在线课程教学管理办法，对课程选用、教学、评价、督导和学分认定等进行规范，做到线上与线下课程教学同管理、同要求，有支持在线课程建设和实施的激励制度，提供人员、经费等保障。</w:t>
            </w:r>
          </w:p>
          <w:p w14:paraId="2F50EB1E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2.重视知识产权等问题，与院校、企业、团队合作签署的知识产权保障协议（或书面约定）规范严谨、平等互利。</w:t>
            </w:r>
          </w:p>
          <w:p w14:paraId="15A0E87A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教材选用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合理，符合有关规定。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引用资源规范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科学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，符合教学需求</w:t>
            </w:r>
          </w:p>
        </w:tc>
      </w:tr>
      <w:tr w14:paraId="6FF6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5CA589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课程实施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2E3C3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教学组织与安排</w:t>
            </w:r>
          </w:p>
        </w:tc>
        <w:tc>
          <w:tcPr>
            <w:tcW w:w="5911" w:type="dxa"/>
            <w:shd w:val="clear" w:color="auto" w:fill="auto"/>
          </w:tcPr>
          <w:p w14:paraId="7EA4F9AD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1.围绕学习任务，细化具体教学目标，合理把握教学进度、组织具体教学。</w:t>
            </w:r>
          </w:p>
          <w:p w14:paraId="7A013EF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2.教学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设计科学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，恰当进行课程导入，课程重点难点讲授准确全面，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方法恰当，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合理使用案例式、探究式等多种教学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方法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。</w:t>
            </w:r>
          </w:p>
          <w:p w14:paraId="1CC61B5A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3.出镜教师教学过程中教仪教态自然大方，语言表达清晰、深入浅出，注重教学互动、激发学生学习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主动性、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积极性</w:t>
            </w:r>
          </w:p>
        </w:tc>
      </w:tr>
      <w:tr w14:paraId="7216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46BD7ED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55BBF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教学活动与过程</w:t>
            </w:r>
          </w:p>
        </w:tc>
        <w:tc>
          <w:tcPr>
            <w:tcW w:w="5911" w:type="dxa"/>
            <w:shd w:val="clear" w:color="auto" w:fill="auto"/>
          </w:tcPr>
          <w:p w14:paraId="7B9A7315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1.各项教学活动完整、有效，教学过程可回溯，关注教与学全过程的信息采集，教学过程材料完整。</w:t>
            </w:r>
          </w:p>
          <w:p w14:paraId="785F673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合理使用信息技术手段创新教学模式，教学过程突出学生中心，适合在线学习或混合式教学，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体现行动导向教学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能够激发学生学习兴趣和潜能。</w:t>
            </w:r>
          </w:p>
          <w:p w14:paraId="4A6B922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3.提供在线测试、即时在线反馈、作业提交和批改、网上社区讨论等学习支持服务，促进师生之间、学生之间进行资源共享、问题交流和协作学习，实现师生、生生的深度有效互动</w:t>
            </w:r>
          </w:p>
        </w:tc>
      </w:tr>
      <w:tr w14:paraId="188E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4009C6F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56DEA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学习考核与评价</w:t>
            </w:r>
          </w:p>
        </w:tc>
        <w:tc>
          <w:tcPr>
            <w:tcW w:w="5911" w:type="dxa"/>
            <w:shd w:val="clear" w:color="auto" w:fill="auto"/>
          </w:tcPr>
          <w:p w14:paraId="55604022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1.建立多元化学习评价体系，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包括但不限于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结果评价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过程评价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增值评价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。</w:t>
            </w:r>
          </w:p>
          <w:p w14:paraId="6AF23C76">
            <w:pPr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2.探索基于大数据的信息采集分析，全程记录和跟踪教师的教学和学生学习过程，形成教与学的正向反馈。</w:t>
            </w:r>
          </w:p>
          <w:p w14:paraId="4F13715E">
            <w:pPr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3.课程建设过程中，不断完善课程考核评价机制，有效反思课程建设经验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及时修正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不足，教学诊断改进积极有效</w:t>
            </w:r>
          </w:p>
        </w:tc>
      </w:tr>
      <w:tr w14:paraId="2F9C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356F609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应用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效果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88777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教学效果与反馈</w:t>
            </w:r>
          </w:p>
        </w:tc>
        <w:tc>
          <w:tcPr>
            <w:tcW w:w="5911" w:type="dxa"/>
            <w:vAlign w:val="center"/>
          </w:tcPr>
          <w:p w14:paraId="174FC677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学生适应在线学习方式，可以有效开展个性化学习与合作学习，对课程的参与度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、学习获得感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，学习效果好。</w:t>
            </w:r>
          </w:p>
          <w:p w14:paraId="4F482D29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2.教师具有较强的信息化教学能力，教学团队配合默契，带动其他教育教学改革取得实质性成果。</w:t>
            </w:r>
          </w:p>
          <w:p w14:paraId="079FF2BF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3.学生对教师教学以及课程的满意度较高</w:t>
            </w:r>
          </w:p>
        </w:tc>
      </w:tr>
      <w:tr w14:paraId="22B7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769063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C6527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技术支持与服务</w:t>
            </w:r>
          </w:p>
        </w:tc>
        <w:tc>
          <w:tcPr>
            <w:tcW w:w="5911" w:type="dxa"/>
            <w:vAlign w:val="center"/>
          </w:tcPr>
          <w:p w14:paraId="21DCD18D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1.各类教学资源应用充分，活跃用户数占课程注册使用人数的比例较高。</w:t>
            </w:r>
          </w:p>
          <w:p w14:paraId="29C80820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2.在线课程教学管理责任有效落实，有效防范在线刷课、替课、刷考、替考行为。</w:t>
            </w:r>
          </w:p>
          <w:p w14:paraId="4ADE7F5E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3.课程平台能够保障信息安全，能够在多种终端上运行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同时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开放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用户身份数据、课程访问数据、学习行为数据以及相关运行数据等监管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要求</w:t>
            </w:r>
          </w:p>
        </w:tc>
      </w:tr>
      <w:tr w14:paraId="7DA2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014C3C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48DFFD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课程示范与引领</w:t>
            </w:r>
          </w:p>
        </w:tc>
        <w:tc>
          <w:tcPr>
            <w:tcW w:w="5911" w:type="dxa"/>
          </w:tcPr>
          <w:p w14:paraId="1BD31C4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1.在教学和课程改革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方面与同类课程相比优势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明显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，具有推广价值。</w:t>
            </w:r>
          </w:p>
          <w:p w14:paraId="53D6A2D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2.面向其他院校学生、企业员工和社会学习者开放学习，可供其他院校教师教学引用，用户使用活跃度高，应用效果良好、社会影响力大，认可度高</w:t>
            </w:r>
          </w:p>
        </w:tc>
      </w:tr>
      <w:tr w14:paraId="6095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23DB2E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课程创新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645BDB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充分彰显职业教育类型特征，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</w:rPr>
              <w:t>体现专业数字化转型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要求，能够较好解决职业教育教学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痛点难点问题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课程与教学改革理念具有原创性、教学实践效果显著，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在落实课程思政、优化教学内容、创新教学模式、改进教学评价、运用信息技术等方面创新明显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能够提供双语教学资源、进行双语教学等</w:t>
            </w:r>
          </w:p>
        </w:tc>
      </w:tr>
    </w:tbl>
    <w:p w14:paraId="61E0C6DC">
      <w:pPr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br w:type="page"/>
      </w:r>
    </w:p>
    <w:p w14:paraId="04FE106E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黑体"/>
          <w:kern w:val="0"/>
          <w:sz w:val="28"/>
          <w:szCs w:val="28"/>
        </w:rPr>
        <w:t>）否定性指标</w:t>
      </w:r>
    </w:p>
    <w:tbl>
      <w:tblPr>
        <w:tblStyle w:val="9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938"/>
        <w:gridCol w:w="3378"/>
      </w:tblGrid>
      <w:tr w14:paraId="04F3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23" w:type="dxa"/>
            <w:shd w:val="clear" w:color="auto" w:fill="auto"/>
            <w:vAlign w:val="center"/>
          </w:tcPr>
          <w:p w14:paraId="60C47F3B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维度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788044E0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具体指标</w:t>
            </w:r>
          </w:p>
        </w:tc>
        <w:tc>
          <w:tcPr>
            <w:tcW w:w="3378" w:type="dxa"/>
            <w:vAlign w:val="center"/>
          </w:tcPr>
          <w:p w14:paraId="124E03F1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观测点及方式</w:t>
            </w:r>
          </w:p>
        </w:tc>
      </w:tr>
      <w:tr w14:paraId="4711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14:paraId="0B6EA4C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课程资格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608DF92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课程与推荐申报类型不符</w:t>
            </w:r>
          </w:p>
        </w:tc>
        <w:tc>
          <w:tcPr>
            <w:tcW w:w="3378" w:type="dxa"/>
            <w:vAlign w:val="center"/>
          </w:tcPr>
          <w:p w14:paraId="4164E0B2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查看教务系统截图，核实是否是专业人才培养方案的在线课程</w:t>
            </w:r>
          </w:p>
        </w:tc>
      </w:tr>
      <w:tr w14:paraId="4AB2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22D00C3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1B5C2E2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开设时间或期数不符合申报要求</w:t>
            </w:r>
          </w:p>
        </w:tc>
        <w:tc>
          <w:tcPr>
            <w:tcW w:w="3378" w:type="dxa"/>
            <w:vAlign w:val="center"/>
          </w:tcPr>
          <w:p w14:paraId="43D5DA0A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查看课程平台（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包括主要开课平台和其他开课平台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）运行情况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和提交的申报材料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，核实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总学时是否不低于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32学时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申报截止日期前是否完成至少两（学）期教学实践</w:t>
            </w:r>
          </w:p>
        </w:tc>
      </w:tr>
      <w:tr w14:paraId="4E3F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2C2DF3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4706C88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教材选用不合规</w:t>
            </w:r>
          </w:p>
        </w:tc>
        <w:tc>
          <w:tcPr>
            <w:tcW w:w="3378" w:type="dxa"/>
            <w:vAlign w:val="center"/>
          </w:tcPr>
          <w:p w14:paraId="049DCFCF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查看提交的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材料，核实选用教材是否符合《职业院校教材管理办法》等有关要求</w:t>
            </w:r>
          </w:p>
        </w:tc>
      </w:tr>
      <w:tr w14:paraId="4044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770056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0B4D45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课程基本信息明显不一致</w:t>
            </w:r>
          </w:p>
        </w:tc>
        <w:tc>
          <w:tcPr>
            <w:tcW w:w="3378" w:type="dxa"/>
            <w:vAlign w:val="center"/>
          </w:tcPr>
          <w:p w14:paraId="529A04BA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查看教务系统截图，重点比对课程名称、授课教师、学时等有关说明材料</w:t>
            </w:r>
          </w:p>
        </w:tc>
      </w:tr>
      <w:tr w14:paraId="4C76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193471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1C96BCA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课程线上教学资源、教学活动无法查看</w:t>
            </w:r>
          </w:p>
        </w:tc>
        <w:tc>
          <w:tcPr>
            <w:tcW w:w="3378" w:type="dxa"/>
            <w:vAlign w:val="center"/>
          </w:tcPr>
          <w:p w14:paraId="741F8232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网址</w:t>
            </w:r>
          </w:p>
        </w:tc>
      </w:tr>
      <w:tr w14:paraId="48FA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1C88AF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1EA0DFC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课程含不安全外部链接</w:t>
            </w:r>
          </w:p>
        </w:tc>
        <w:tc>
          <w:tcPr>
            <w:tcW w:w="3378" w:type="dxa"/>
            <w:vAlign w:val="center"/>
          </w:tcPr>
          <w:p w14:paraId="6477FE4D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网址</w:t>
            </w:r>
          </w:p>
        </w:tc>
      </w:tr>
      <w:tr w14:paraId="4989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6F006E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0FA2AA6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课程内容存在政治性、科学性、规范性问题</w:t>
            </w:r>
          </w:p>
        </w:tc>
        <w:tc>
          <w:tcPr>
            <w:tcW w:w="3378" w:type="dxa"/>
            <w:vAlign w:val="center"/>
          </w:tcPr>
          <w:p w14:paraId="5A5E20B7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查看课程内容和有关材料，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核实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存在意识形态问题或科学性问题，是否存在其他重大规范性问题</w:t>
            </w:r>
          </w:p>
        </w:tc>
      </w:tr>
      <w:tr w14:paraId="74E4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23" w:type="dxa"/>
            <w:shd w:val="clear" w:color="auto" w:fill="auto"/>
            <w:vAlign w:val="center"/>
          </w:tcPr>
          <w:p w14:paraId="2EA282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教师资格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68A84EA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团队成员存在师德师风方面问题</w:t>
            </w:r>
          </w:p>
        </w:tc>
        <w:tc>
          <w:tcPr>
            <w:tcW w:w="3378" w:type="dxa"/>
            <w:vAlign w:val="center"/>
          </w:tcPr>
          <w:p w14:paraId="4ADA06A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查看“团队成员政治审查意见”以及提交的有关材料是否合规，或举报属实</w:t>
            </w:r>
          </w:p>
        </w:tc>
      </w:tr>
      <w:tr w14:paraId="58B6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14:paraId="2C5F00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申报材料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5DDD77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申报材料造假</w:t>
            </w:r>
          </w:p>
        </w:tc>
        <w:tc>
          <w:tcPr>
            <w:tcW w:w="3378" w:type="dxa"/>
            <w:vAlign w:val="center"/>
          </w:tcPr>
          <w:p w14:paraId="27E28CAF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查看提交的材料，或举报属实</w:t>
            </w:r>
          </w:p>
        </w:tc>
      </w:tr>
      <w:tr w14:paraId="6C81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06C53E7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5D59089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有侵权现象</w:t>
            </w:r>
          </w:p>
        </w:tc>
        <w:tc>
          <w:tcPr>
            <w:tcW w:w="3378" w:type="dxa"/>
            <w:vAlign w:val="center"/>
          </w:tcPr>
          <w:p w14:paraId="179E8DFD">
            <w:pPr>
              <w:widowControl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查看课程内容和有关材料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，或举报属实</w:t>
            </w:r>
          </w:p>
        </w:tc>
      </w:tr>
      <w:tr w14:paraId="4073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shd w:val="clear" w:color="auto" w:fill="auto"/>
            <w:vAlign w:val="center"/>
          </w:tcPr>
          <w:p w14:paraId="7D3ED3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平台资格</w:t>
            </w:r>
          </w:p>
        </w:tc>
        <w:tc>
          <w:tcPr>
            <w:tcW w:w="3938" w:type="dxa"/>
            <w:shd w:val="clear" w:color="auto" w:fill="auto"/>
          </w:tcPr>
          <w:p w14:paraId="17869F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工信部ICP网站备案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公安机关网站备案号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信息安全等级保护证书未达到三级</w:t>
            </w:r>
          </w:p>
        </w:tc>
        <w:tc>
          <w:tcPr>
            <w:tcW w:w="3378" w:type="dxa"/>
            <w:vAlign w:val="center"/>
          </w:tcPr>
          <w:p w14:paraId="1BF28BE8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查看“提供的课程访问网址”和有关材料，或举报属实</w:t>
            </w:r>
          </w:p>
        </w:tc>
      </w:tr>
    </w:tbl>
    <w:p w14:paraId="3431753E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74773E39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35F93FC5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29EDD622">
      <w:pPr>
        <w:rPr>
          <w:rFonts w:ascii="Times New Roman" w:hAnsi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46457E-8431-441C-8419-E401A2E3EB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6043F72-5DF2-4B97-BB3E-FB036AB4B1E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F666C84-A70B-4F0F-B927-BB2F944BE3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F13F4BC-71D6-41A7-8C33-5D598E7F10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B0F7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D2A7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D2A7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ACC070">
                          <w:pPr>
                            <w:pStyle w:val="5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ACC070">
                    <w:pPr>
                      <w:pStyle w:val="5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F89A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RlYTM2OTVkYzAwYjA1YWI1OTk3ODAwOTJhYzQifQ=="/>
    <w:docVar w:name="KSO_WPS_MARK_KEY" w:val="cf10db0a-a246-4e5e-956b-53c70147d7ea"/>
  </w:docVars>
  <w:rsids>
    <w:rsidRoot w:val="49CB5D72"/>
    <w:rsid w:val="00011E26"/>
    <w:rsid w:val="00017F47"/>
    <w:rsid w:val="00097966"/>
    <w:rsid w:val="001869BC"/>
    <w:rsid w:val="001E59FC"/>
    <w:rsid w:val="001F6388"/>
    <w:rsid w:val="001F7F44"/>
    <w:rsid w:val="00201AC2"/>
    <w:rsid w:val="00234B53"/>
    <w:rsid w:val="00330846"/>
    <w:rsid w:val="00355335"/>
    <w:rsid w:val="003A0AE7"/>
    <w:rsid w:val="00460FD9"/>
    <w:rsid w:val="00483918"/>
    <w:rsid w:val="004A4E83"/>
    <w:rsid w:val="004A5E9F"/>
    <w:rsid w:val="0054605D"/>
    <w:rsid w:val="0056497F"/>
    <w:rsid w:val="005775B9"/>
    <w:rsid w:val="0062161A"/>
    <w:rsid w:val="00652A0C"/>
    <w:rsid w:val="006F44D3"/>
    <w:rsid w:val="00726BC9"/>
    <w:rsid w:val="007B3C5C"/>
    <w:rsid w:val="00805874"/>
    <w:rsid w:val="0082667E"/>
    <w:rsid w:val="008A3FB6"/>
    <w:rsid w:val="008F6BD0"/>
    <w:rsid w:val="00975AE0"/>
    <w:rsid w:val="00A02D7B"/>
    <w:rsid w:val="00A81EA4"/>
    <w:rsid w:val="00AA4FA5"/>
    <w:rsid w:val="00AC37FE"/>
    <w:rsid w:val="00AF6469"/>
    <w:rsid w:val="00AF7EA9"/>
    <w:rsid w:val="00B06CAA"/>
    <w:rsid w:val="00B3406A"/>
    <w:rsid w:val="00B62F03"/>
    <w:rsid w:val="00BC11A2"/>
    <w:rsid w:val="00BF7BD2"/>
    <w:rsid w:val="00C14755"/>
    <w:rsid w:val="00CB1FC3"/>
    <w:rsid w:val="00CB46C1"/>
    <w:rsid w:val="00CE77F7"/>
    <w:rsid w:val="00D83ADC"/>
    <w:rsid w:val="00DA2A5D"/>
    <w:rsid w:val="00E2285D"/>
    <w:rsid w:val="00E41E2F"/>
    <w:rsid w:val="00F350E0"/>
    <w:rsid w:val="00FA0064"/>
    <w:rsid w:val="00FB53FA"/>
    <w:rsid w:val="01014077"/>
    <w:rsid w:val="020826AC"/>
    <w:rsid w:val="036303A2"/>
    <w:rsid w:val="05300E9B"/>
    <w:rsid w:val="084F74AA"/>
    <w:rsid w:val="0A527A89"/>
    <w:rsid w:val="0B426468"/>
    <w:rsid w:val="0C6F1240"/>
    <w:rsid w:val="0E3A54E8"/>
    <w:rsid w:val="112461CF"/>
    <w:rsid w:val="159F078C"/>
    <w:rsid w:val="176462D0"/>
    <w:rsid w:val="18973ABB"/>
    <w:rsid w:val="18FB0EA9"/>
    <w:rsid w:val="1A9B5E86"/>
    <w:rsid w:val="1D7208BD"/>
    <w:rsid w:val="24C70F69"/>
    <w:rsid w:val="250B1E26"/>
    <w:rsid w:val="25137E21"/>
    <w:rsid w:val="26912C1C"/>
    <w:rsid w:val="27A8172A"/>
    <w:rsid w:val="298507C6"/>
    <w:rsid w:val="2B2226F5"/>
    <w:rsid w:val="37597D2D"/>
    <w:rsid w:val="38B816DE"/>
    <w:rsid w:val="3C5A3EB8"/>
    <w:rsid w:val="3D37325E"/>
    <w:rsid w:val="3E5F72B3"/>
    <w:rsid w:val="406078CC"/>
    <w:rsid w:val="412E2655"/>
    <w:rsid w:val="49CB5D72"/>
    <w:rsid w:val="49DC5046"/>
    <w:rsid w:val="4A630034"/>
    <w:rsid w:val="4CB40BE6"/>
    <w:rsid w:val="4E50267E"/>
    <w:rsid w:val="4F59374B"/>
    <w:rsid w:val="53D74A85"/>
    <w:rsid w:val="5478427C"/>
    <w:rsid w:val="55041AB8"/>
    <w:rsid w:val="5B2628FB"/>
    <w:rsid w:val="5BCF5B83"/>
    <w:rsid w:val="62E63ABE"/>
    <w:rsid w:val="6857614A"/>
    <w:rsid w:val="6C857D33"/>
    <w:rsid w:val="6C86405F"/>
    <w:rsid w:val="72F53670"/>
    <w:rsid w:val="73A1619F"/>
    <w:rsid w:val="73A6416E"/>
    <w:rsid w:val="746F7452"/>
    <w:rsid w:val="7473579E"/>
    <w:rsid w:val="76D66058"/>
    <w:rsid w:val="79782905"/>
    <w:rsid w:val="7C0F6FCD"/>
    <w:rsid w:val="7EE1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20">
    <w:name w:val="页脚 字符"/>
    <w:basedOn w:val="11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2727</Words>
  <Characters>2773</Characters>
  <Lines>19</Lines>
  <Paragraphs>5</Paragraphs>
  <TotalTime>11</TotalTime>
  <ScaleCrop>false</ScaleCrop>
  <LinksUpToDate>false</LinksUpToDate>
  <CharactersWithSpaces>2773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2021-12-06T10:10:00Z</dcterms:created>
  <dc:creator>程智宾</dc:creator>
  <cp:lastModifiedBy>ZERO</cp:lastModifiedBy>
  <cp:lastPrinted>2023-12-27T00:31:00Z</cp:lastPrinted>
  <dcterms:modified xsi:type="dcterms:W3CDTF">2024-09-19T08:47:07Z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2D917F25A6274B31BF92EFD7E12961C8_13</vt:lpwstr>
  </property>
</Properties>
</file>